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53BB" w14:textId="06E58155" w:rsidR="00D57153" w:rsidRPr="005C34D9" w:rsidRDefault="00D57153" w:rsidP="00D57153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</w:rPr>
        <w:t>K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</w:rPr>
        <w:t>ortsvarsoppgave 1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</w:rPr>
        <w:t>, lærerens modelltekst</w:t>
      </w:r>
      <w:bookmarkStart w:id="0" w:name="_GoBack"/>
      <w:bookmarkEnd w:id="0"/>
    </w:p>
    <w:p w14:paraId="101D59AC" w14:textId="77777777" w:rsidR="00D57153" w:rsidRDefault="00D57153" w:rsidP="008053D4">
      <w:pPr>
        <w:rPr>
          <w:rFonts w:ascii="NTNU-DIN NTNU-DIN-Bold" w:hAnsi="NTNU-DIN NTNU-DIN-Bold" w:cs="Times New Roman"/>
          <w:b/>
          <w:bCs/>
          <w:sz w:val="24"/>
        </w:rPr>
      </w:pPr>
    </w:p>
    <w:p w14:paraId="6A739BE9" w14:textId="77777777" w:rsidR="00D57153" w:rsidRDefault="00D57153" w:rsidP="008053D4">
      <w:pPr>
        <w:rPr>
          <w:rFonts w:ascii="NTNU-DIN NTNU-DIN-Bold" w:hAnsi="NTNU-DIN NTNU-DIN-Bold" w:cs="Times New Roman"/>
          <w:b/>
          <w:bCs/>
          <w:sz w:val="24"/>
        </w:rPr>
      </w:pPr>
    </w:p>
    <w:p w14:paraId="3F61976E" w14:textId="5105E6C9" w:rsidR="008053D4" w:rsidRPr="008053D4" w:rsidRDefault="008053D4" w:rsidP="008053D4">
      <w:pPr>
        <w:rPr>
          <w:rFonts w:ascii="NTNU-DIN NTNU-DIN-Bold" w:hAnsi="NTNU-DIN NTNU-DIN-Bold" w:cs="Times New Roman"/>
          <w:b/>
          <w:bCs/>
          <w:sz w:val="24"/>
        </w:rPr>
      </w:pPr>
      <w:r w:rsidRPr="008053D4">
        <w:rPr>
          <w:rFonts w:ascii="NTNU-DIN NTNU-DIN-Bold" w:hAnsi="NTNU-DIN NTNU-DIN-Bold" w:cs="Times New Roman"/>
          <w:b/>
          <w:bCs/>
          <w:sz w:val="24"/>
        </w:rPr>
        <w:t>Kortsvar – Oppgave 1</w:t>
      </w:r>
    </w:p>
    <w:p w14:paraId="1DFB263D" w14:textId="77777777" w:rsidR="008053D4" w:rsidRPr="008F31CB" w:rsidRDefault="008053D4" w:rsidP="008053D4">
      <w:pPr>
        <w:rPr>
          <w:rFonts w:ascii="Times New Roman" w:hAnsi="Times New Roman" w:cs="Times New Roman"/>
          <w:b/>
          <w:sz w:val="24"/>
        </w:rPr>
      </w:pPr>
    </w:p>
    <w:p w14:paraId="14DC7E63" w14:textId="09AB13AD" w:rsidR="008053D4" w:rsidRPr="00B952A8" w:rsidRDefault="008053D4" w:rsidP="008053D4">
      <w:pPr>
        <w:pStyle w:val="Overskrift1"/>
        <w:jc w:val="center"/>
        <w:rPr>
          <w:rFonts w:ascii="NTNU-DIN NTNU-DIN-Bold" w:eastAsia="Times New Roman" w:hAnsi="NTNU-DIN NTNU-DIN-Bold"/>
          <w:color w:val="000000" w:themeColor="text1"/>
          <w:sz w:val="36"/>
          <w:szCs w:val="36"/>
        </w:rPr>
      </w:pPr>
      <w:r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>Hode, skulder, kne, tå og rygg</w:t>
      </w:r>
    </w:p>
    <w:p w14:paraId="003FE440" w14:textId="77777777" w:rsidR="008053D4" w:rsidRPr="00A5746B" w:rsidRDefault="008053D4" w:rsidP="008053D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E242B04" w14:textId="77777777" w:rsidR="008053D4" w:rsidRPr="00A5746B" w:rsidRDefault="008053D4" w:rsidP="008053D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3C930209" w14:textId="77777777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  <w:r w:rsidRPr="008053D4">
        <w:rPr>
          <w:rFonts w:ascii="NTNU-DIN NTNU-DIN-Regular" w:hAnsi="NTNU-DIN NTNU-DIN-Regular" w:cs="Times New Roman"/>
          <w:sz w:val="24"/>
        </w:rPr>
        <w:t xml:space="preserve">I reklamen fra </w:t>
      </w:r>
      <w:proofErr w:type="spellStart"/>
      <w:r w:rsidRPr="008053D4">
        <w:rPr>
          <w:rFonts w:ascii="NTNU-DIN NTNU-DIN-Regular" w:hAnsi="NTNU-DIN NTNU-DIN-Regular" w:cs="Times New Roman"/>
          <w:sz w:val="24"/>
        </w:rPr>
        <w:t>Ibux</w:t>
      </w:r>
      <w:proofErr w:type="spellEnd"/>
      <w:r w:rsidRPr="008053D4">
        <w:rPr>
          <w:rFonts w:ascii="NTNU-DIN NTNU-DIN-Regular" w:hAnsi="NTNU-DIN NTNU-DIN-Regular" w:cs="Times New Roman"/>
          <w:sz w:val="24"/>
        </w:rPr>
        <w:t xml:space="preserve">, </w:t>
      </w:r>
      <w:r w:rsidRPr="008053D4">
        <w:rPr>
          <w:rFonts w:ascii="NTNU-DIN NTNU-DIN-Regular-itali" w:hAnsi="NTNU-DIN NTNU-DIN-Regular-itali" w:cs="Times New Roman"/>
          <w:i/>
          <w:iCs/>
          <w:sz w:val="24"/>
        </w:rPr>
        <w:t xml:space="preserve">Hode, skuldre, kne og tå </w:t>
      </w:r>
      <w:r w:rsidRPr="008053D4">
        <w:rPr>
          <w:rFonts w:ascii="NTNU-DIN NTNU-DIN-Regular" w:hAnsi="NTNU-DIN NTNU-DIN-Regular" w:cs="Times New Roman"/>
          <w:sz w:val="24"/>
        </w:rPr>
        <w:t>er formålet å overbevise mottakerne om å kjøpe disse smertestillende tablettene. Målgruppa for denne reklamen er mennesker med vond rygg.</w:t>
      </w:r>
    </w:p>
    <w:p w14:paraId="6EC1E35E" w14:textId="77777777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</w:p>
    <w:p w14:paraId="1F3C6DA9" w14:textId="77777777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  <w:r w:rsidRPr="008053D4">
        <w:rPr>
          <w:rFonts w:ascii="NTNU-DIN NTNU-DIN-Regular" w:hAnsi="NTNU-DIN NTNU-DIN-Regular" w:cs="Times New Roman"/>
          <w:sz w:val="24"/>
        </w:rPr>
        <w:t xml:space="preserve">Produktet </w:t>
      </w:r>
      <w:proofErr w:type="spellStart"/>
      <w:r w:rsidRPr="008053D4">
        <w:rPr>
          <w:rFonts w:ascii="NTNU-DIN NTNU-DIN-Regular" w:hAnsi="NTNU-DIN NTNU-DIN-Regular" w:cs="Times New Roman"/>
          <w:sz w:val="24"/>
        </w:rPr>
        <w:t>Ibux</w:t>
      </w:r>
      <w:proofErr w:type="spellEnd"/>
      <w:r w:rsidRPr="008053D4">
        <w:rPr>
          <w:rFonts w:ascii="NTNU-DIN NTNU-DIN-Regular" w:hAnsi="NTNU-DIN NTNU-DIN-Regular" w:cs="Times New Roman"/>
          <w:sz w:val="24"/>
        </w:rPr>
        <w:t xml:space="preserve"> har sterk etos, det er en kjent smertestillende tablett. Et premiss i reklamen er at målgruppa allerede kjenner til </w:t>
      </w:r>
      <w:proofErr w:type="spellStart"/>
      <w:r w:rsidRPr="008053D4">
        <w:rPr>
          <w:rFonts w:ascii="NTNU-DIN NTNU-DIN-Regular" w:hAnsi="NTNU-DIN NTNU-DIN-Regular" w:cs="Times New Roman"/>
          <w:sz w:val="24"/>
        </w:rPr>
        <w:t>Ibux</w:t>
      </w:r>
      <w:proofErr w:type="spellEnd"/>
      <w:r w:rsidRPr="008053D4">
        <w:rPr>
          <w:rFonts w:ascii="NTNU-DIN NTNU-DIN-Regular" w:hAnsi="NTNU-DIN NTNU-DIN-Regular" w:cs="Times New Roman"/>
          <w:sz w:val="24"/>
        </w:rPr>
        <w:t>, da det gis lite informasjon om produktet. Avsenderen sin troverdighet styrkes når det informeres om at produktet har flere virkninger enn det mange tror. </w:t>
      </w:r>
    </w:p>
    <w:p w14:paraId="6C479E12" w14:textId="77777777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</w:p>
    <w:p w14:paraId="128802CA" w14:textId="62AF2DA3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  <w:r w:rsidRPr="008053D4">
        <w:rPr>
          <w:rFonts w:ascii="NTNU-DIN NTNU-DIN-Regular" w:hAnsi="NTNU-DIN NTNU-DIN-Regular" w:cs="Times New Roman"/>
          <w:sz w:val="24"/>
        </w:rPr>
        <w:t xml:space="preserve">Reklamen fra </w:t>
      </w:r>
      <w:proofErr w:type="spellStart"/>
      <w:r w:rsidRPr="008053D4">
        <w:rPr>
          <w:rFonts w:ascii="NTNU-DIN NTNU-DIN-Regular" w:hAnsi="NTNU-DIN NTNU-DIN-Regular" w:cs="Times New Roman"/>
          <w:sz w:val="24"/>
        </w:rPr>
        <w:t>Ibux</w:t>
      </w:r>
      <w:proofErr w:type="spellEnd"/>
      <w:r w:rsidRPr="008053D4">
        <w:rPr>
          <w:rFonts w:ascii="NTNU-DIN NTNU-DIN-Regular" w:hAnsi="NTNU-DIN NTNU-DIN-Regular" w:cs="Times New Roman"/>
          <w:sz w:val="24"/>
        </w:rPr>
        <w:t xml:space="preserve"> er patosfylt. Den viser barnesangen </w:t>
      </w:r>
      <w:r w:rsidRPr="008053D4">
        <w:rPr>
          <w:rFonts w:ascii="NTNU-DIN NTNU-DIN-Regular-itali" w:hAnsi="NTNU-DIN NTNU-DIN-Regular-itali" w:cs="Times New Roman"/>
          <w:i/>
          <w:iCs/>
          <w:sz w:val="24"/>
        </w:rPr>
        <w:t>Hode, skuldre, kne og tå</w:t>
      </w:r>
      <w:r w:rsidRPr="008053D4">
        <w:rPr>
          <w:rFonts w:ascii="NTNU-DIN NTNU-DIN-Regular" w:hAnsi="NTNU-DIN NTNU-DIN-Regular" w:cs="Times New Roman"/>
          <w:sz w:val="24"/>
        </w:rPr>
        <w:t>. Sangen kan gi mottakeren assosiasjoner til barndommen, og den smertefrie bevegeligheten man følte da. Ordet «Rygg» gjentas tre ganger med rød tusj, for å skape oppmerksomhet rundt flere av produktets virkninger.  </w:t>
      </w:r>
    </w:p>
    <w:p w14:paraId="06DFC8BE" w14:textId="77777777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</w:p>
    <w:p w14:paraId="5224CDD4" w14:textId="77777777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  <w:proofErr w:type="spellStart"/>
      <w:r w:rsidRPr="008053D4">
        <w:rPr>
          <w:rFonts w:ascii="NTNU-DIN NTNU-DIN-Regular" w:hAnsi="NTNU-DIN NTNU-DIN-Regular" w:cs="Times New Roman"/>
          <w:sz w:val="24"/>
        </w:rPr>
        <w:t>Ibux</w:t>
      </w:r>
      <w:proofErr w:type="spellEnd"/>
      <w:r w:rsidRPr="008053D4">
        <w:rPr>
          <w:rFonts w:ascii="NTNU-DIN NTNU-DIN-Regular" w:hAnsi="NTNU-DIN NTNU-DIN-Regular" w:cs="Times New Roman"/>
          <w:sz w:val="24"/>
        </w:rPr>
        <w:t xml:space="preserve"> bruker logos for å overbevise målgruppa om å kjøpe produktet. Avsenderen spiller på at målgruppa allerede vet at produktet kan brukes mot hodepine. I tillegg bruker de fakta for å informere om at tablettene også er effektive mot muskel- og leddsmerter, for eksempel mot en vond rygg. Det kan være fornuftig å velge </w:t>
      </w:r>
      <w:proofErr w:type="spellStart"/>
      <w:r w:rsidRPr="008053D4">
        <w:rPr>
          <w:rFonts w:ascii="NTNU-DIN NTNU-DIN-Regular" w:hAnsi="NTNU-DIN NTNU-DIN-Regular" w:cs="Times New Roman"/>
          <w:sz w:val="24"/>
        </w:rPr>
        <w:t>Ibux</w:t>
      </w:r>
      <w:proofErr w:type="spellEnd"/>
      <w:r w:rsidRPr="008053D4">
        <w:rPr>
          <w:rFonts w:ascii="NTNU-DIN NTNU-DIN-Regular" w:hAnsi="NTNU-DIN NTNU-DIN-Regular" w:cs="Times New Roman"/>
          <w:sz w:val="24"/>
        </w:rPr>
        <w:t xml:space="preserve"> foran andre smertestillende tabletter, fordi produktet virker mot flere plager en kan få. </w:t>
      </w:r>
    </w:p>
    <w:p w14:paraId="68F92FAE" w14:textId="77777777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</w:p>
    <w:p w14:paraId="3AA7151B" w14:textId="7576B3AF" w:rsidR="008053D4" w:rsidRPr="008053D4" w:rsidRDefault="008053D4" w:rsidP="008053D4">
      <w:pPr>
        <w:spacing w:after="0" w:line="360" w:lineRule="auto"/>
        <w:rPr>
          <w:rFonts w:ascii="NTNU-DIN NTNU-DIN-Regular" w:hAnsi="NTNU-DIN NTNU-DIN-Regular" w:cs="Times New Roman"/>
          <w:sz w:val="24"/>
        </w:rPr>
      </w:pPr>
      <w:r w:rsidRPr="008053D4">
        <w:rPr>
          <w:rFonts w:ascii="NTNU-DIN NTNU-DIN-Regular" w:hAnsi="NTNU-DIN NTNU-DIN-Regular" w:cs="Times New Roman"/>
          <w:sz w:val="24"/>
        </w:rPr>
        <w:t xml:space="preserve">Jeg mener at reklamen når fram til målgruppa. Det er samspill mellom avsenderens sterke etos, at reklamen vekker patos ved å spille på barndomsfølelser, og de logiske </w:t>
      </w:r>
      <w:r w:rsidRPr="008053D4">
        <w:rPr>
          <w:rFonts w:ascii="NTNU-DIN NTNU-DIN-Regular" w:hAnsi="NTNU-DIN NTNU-DIN-Regular" w:cs="Times New Roman"/>
          <w:sz w:val="24"/>
        </w:rPr>
        <w:lastRenderedPageBreak/>
        <w:t xml:space="preserve">argumentene for at produktet virker mot muskel- og leddsmerter. Dette er en reklame målgruppa vil legge merke til, og </w:t>
      </w:r>
      <w:proofErr w:type="spellStart"/>
      <w:r w:rsidRPr="008053D4">
        <w:rPr>
          <w:rFonts w:ascii="NTNU-DIN NTNU-DIN-Regular" w:hAnsi="NTNU-DIN NTNU-DIN-Regular" w:cs="Times New Roman"/>
          <w:sz w:val="24"/>
        </w:rPr>
        <w:t>Ibux</w:t>
      </w:r>
      <w:proofErr w:type="spellEnd"/>
      <w:r w:rsidRPr="008053D4">
        <w:rPr>
          <w:rFonts w:ascii="NTNU-DIN NTNU-DIN-Regular" w:hAnsi="NTNU-DIN NTNU-DIN-Regular" w:cs="Times New Roman"/>
          <w:sz w:val="24"/>
        </w:rPr>
        <w:t xml:space="preserve"> er et produkt de vil kjøpe.  </w:t>
      </w:r>
    </w:p>
    <w:p w14:paraId="38F56CD5" w14:textId="77777777" w:rsidR="008053D4" w:rsidRDefault="008053D4" w:rsidP="008053D4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250C4968" w14:textId="77777777" w:rsidR="00B75612" w:rsidRPr="008053D4" w:rsidRDefault="00B75612" w:rsidP="008053D4"/>
    <w:sectPr w:rsidR="00B75612" w:rsidRPr="008053D4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82EC" w14:textId="77777777" w:rsidR="0016532F" w:rsidRDefault="0016532F" w:rsidP="007E5267">
      <w:pPr>
        <w:spacing w:after="0" w:line="240" w:lineRule="auto"/>
      </w:pPr>
      <w:r>
        <w:separator/>
      </w:r>
    </w:p>
  </w:endnote>
  <w:endnote w:type="continuationSeparator" w:id="0">
    <w:p w14:paraId="1A60BA91" w14:textId="77777777" w:rsidR="0016532F" w:rsidRDefault="0016532F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EC7D" w14:textId="77777777" w:rsidR="0016532F" w:rsidRDefault="0016532F" w:rsidP="007E5267">
      <w:pPr>
        <w:spacing w:after="0" w:line="240" w:lineRule="auto"/>
      </w:pPr>
      <w:r>
        <w:separator/>
      </w:r>
    </w:p>
  </w:footnote>
  <w:footnote w:type="continuationSeparator" w:id="0">
    <w:p w14:paraId="25E5305E" w14:textId="77777777" w:rsidR="0016532F" w:rsidRDefault="0016532F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154091"/>
    <w:rsid w:val="0016532F"/>
    <w:rsid w:val="00325DC9"/>
    <w:rsid w:val="003D7A73"/>
    <w:rsid w:val="003F16A9"/>
    <w:rsid w:val="005C34D9"/>
    <w:rsid w:val="005E2744"/>
    <w:rsid w:val="0062097E"/>
    <w:rsid w:val="007E5267"/>
    <w:rsid w:val="008053D4"/>
    <w:rsid w:val="008D1352"/>
    <w:rsid w:val="009E1FF5"/>
    <w:rsid w:val="00A74FEC"/>
    <w:rsid w:val="00A90541"/>
    <w:rsid w:val="00A97C93"/>
    <w:rsid w:val="00B5720F"/>
    <w:rsid w:val="00B75612"/>
    <w:rsid w:val="00CA7151"/>
    <w:rsid w:val="00D014C7"/>
    <w:rsid w:val="00D56774"/>
    <w:rsid w:val="00D57153"/>
    <w:rsid w:val="00D728A3"/>
    <w:rsid w:val="00E44CF6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11A26C-3518-2042-ACD9-3BB878D6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3</cp:revision>
  <dcterms:created xsi:type="dcterms:W3CDTF">2020-01-21T13:46:00Z</dcterms:created>
  <dcterms:modified xsi:type="dcterms:W3CDTF">2020-01-23T12:23:00Z</dcterms:modified>
</cp:coreProperties>
</file>